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A57D2" w14:textId="77777777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82DCF8A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05DB253" w14:textId="4D2BE2F4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>
        <w:rPr>
          <w:rFonts w:ascii="Lato" w:eastAsia="Times New Roman" w:hAnsi="Lato" w:cs="Times New Roman"/>
          <w:cap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E9BC9" wp14:editId="3466EDB9">
                <wp:simplePos x="0" y="0"/>
                <wp:positionH relativeFrom="margin">
                  <wp:posOffset>1222375</wp:posOffset>
                </wp:positionH>
                <wp:positionV relativeFrom="paragraph">
                  <wp:posOffset>147864</wp:posOffset>
                </wp:positionV>
                <wp:extent cx="3317966" cy="947602"/>
                <wp:effectExtent l="19050" t="19050" r="1587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966" cy="94760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D5B3D" w14:textId="0797DC1E" w:rsidR="006F39E4" w:rsidRPr="006F39E4" w:rsidRDefault="006F39E4" w:rsidP="006F39E4">
                            <w:pPr>
                              <w:jc w:val="center"/>
                              <w:rPr>
                                <w:b/>
                                <w:bCs/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  <w:r w:rsidRPr="006F39E4">
                              <w:rPr>
                                <w:b/>
                                <w:bCs/>
                                <w:color w:val="404040" w:themeColor="text1" w:themeTint="BF"/>
                                <w:sz w:val="48"/>
                                <w:szCs w:val="48"/>
                              </w:rPr>
                              <w:t>PROTOCOLE D’ACCORD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E9BC9" id="Rectangle 3" o:spid="_x0000_s1026" style="position:absolute;margin-left:96.25pt;margin-top:11.65pt;width:261.25pt;height:7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" filled="f" strokecolor="#272727 [2749]" strokeweight="2.25pt">
                <v:textbox>
                  <w:txbxContent>
                    <w:p w14:paraId="44FD5B3D" w14:textId="0797DC1E" w:rsidR="006F39E4" w:rsidRPr="006F39E4" w:rsidRDefault="006F39E4" w:rsidP="006F39E4">
                      <w:pPr>
                        <w:jc w:val="center"/>
                        <w:rPr>
                          <w:b/>
                          <w:bCs/>
                          <w:color w:val="404040" w:themeColor="text1" w:themeTint="BF"/>
                          <w:sz w:val="48"/>
                          <w:szCs w:val="48"/>
                        </w:rPr>
                      </w:pPr>
                      <w:r w:rsidRPr="006F39E4">
                        <w:rPr>
                          <w:b/>
                          <w:bCs/>
                          <w:color w:val="404040" w:themeColor="text1" w:themeTint="BF"/>
                          <w:sz w:val="48"/>
                          <w:szCs w:val="48"/>
                        </w:rPr>
                        <w:t>PROTOCOLE D’ACCORD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BAC5A5" w14:textId="678DF85A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C7D88AF" w14:textId="06F1824F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A20D74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2B82C55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3B0D643" w14:textId="2A84E9AA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</w:pPr>
      <w:r w:rsidRPr="006F39E4"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  <w:t>ENTRE :</w:t>
      </w:r>
    </w:p>
    <w:p w14:paraId="7469CE64" w14:textId="4804D8C1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CFC2E37" w14:textId="7185E678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38E7786A" w14:textId="7F575914" w:rsidR="006F39E4" w:rsidRP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</w:pPr>
      <w:r w:rsidRPr="006F39E4">
        <w:rPr>
          <w:rFonts w:ascii="Lato" w:eastAsia="Times New Roman" w:hAnsi="Lato" w:cs="Times New Roman"/>
          <w:caps/>
          <w:color w:val="000000"/>
          <w:sz w:val="24"/>
          <w:szCs w:val="24"/>
          <w:u w:val="single"/>
          <w:lang w:eastAsia="fr-FR"/>
        </w:rPr>
        <w:t xml:space="preserve">ET : </w:t>
      </w:r>
    </w:p>
    <w:p w14:paraId="4DF42A28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DE7FB96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77BA0D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E4A197A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813D16F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21DA79B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61564DF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24A07B2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E18682D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0047D899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BBE8683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1E26774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D5E8A1B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500203E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3B7C4D0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19C26B7" w14:textId="77777777" w:rsidR="006F39E4" w:rsidRDefault="006F39E4" w:rsidP="006F39E4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E877C3B" w14:textId="4EB59F4D" w:rsidR="0062331E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La dénomination « protocole d’accord ».</w:t>
      </w:r>
    </w:p>
    <w:p w14:paraId="28AD2BD5" w14:textId="77777777" w:rsid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329A4E3" w14:textId="143F9D0F" w:rsidR="002613AD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Le rappel du contexte dans lequel s’inscrit le protocole d’accord.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 Il conviendra d’apporter des précisions sur l’entreprise (capital, actifs et passifs, activités, lieu du siège social, présence ou non d’un commissaire aux comptes, forme de cession envisagée à savoir cession des titres ou cession du fonds directe du fonds de commerce…).</w:t>
      </w:r>
    </w:p>
    <w:p w14:paraId="2A22E537" w14:textId="77777777" w:rsidR="0062331E" w:rsidRPr="0062331E" w:rsidRDefault="0062331E" w:rsidP="0062331E">
      <w:pPr>
        <w:pStyle w:val="Paragraphedeliste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67790E35" w14:textId="77777777" w:rsidR="0062331E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7319F354" w14:textId="77777777" w:rsidR="0062331E" w:rsidRDefault="002613AD" w:rsidP="0062331E">
      <w:pPr>
        <w:pStyle w:val="Paragraphedeliste"/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L’objet de la vente </w:t>
      </w:r>
    </w:p>
    <w:p w14:paraId="2FA77946" w14:textId="22CB8734" w:rsidR="002613AD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</w:pPr>
      <w:r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Il conviendra de renseigner </w:t>
      </w:r>
      <w:r w:rsidR="002613AD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le nombre de titres vendus ou les éléments cédés dans le cadre de la cession directe du fonds de commerce.</w:t>
      </w:r>
    </w:p>
    <w:p w14:paraId="16A41305" w14:textId="77777777" w:rsidR="0062331E" w:rsidRPr="0062331E" w:rsidRDefault="0062331E" w:rsidP="0062331E">
      <w:pPr>
        <w:pStyle w:val="Paragraphedeliste"/>
        <w:shd w:val="clear" w:color="auto" w:fill="FFFFFF" w:themeFill="background1"/>
        <w:spacing w:before="100" w:beforeAutospacing="1" w:after="75" w:line="240" w:lineRule="auto"/>
        <w:ind w:left="108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46E43FFB" w14:textId="2DBFCD61" w:rsidR="002613AD" w:rsidRP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Le prix 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="0062331E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 xml:space="preserve">Indiquer le </w:t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montant du prix et modalités de paiement.</w:t>
      </w:r>
    </w:p>
    <w:p w14:paraId="0459BBC0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D8DD9B1" w14:textId="22C31623" w:rsidR="0062331E" w:rsidRP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 xml:space="preserve">Les conditions suspensives 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ces conditions devront obligatoirement se réaliser pour permettre la conclusion définitive du contrat.</w:t>
      </w:r>
    </w:p>
    <w:p w14:paraId="17F038AD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1EBFCCC" w14:textId="41CCF10B" w:rsid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Les conditions de la conclusion du contrat si les conditions suspensives viennent à se réaliser</w:t>
      </w:r>
      <w:r w:rsidR="0062331E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br/>
      </w:r>
      <w:r w:rsidR="0062331E" w:rsidRPr="0062331E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D</w:t>
      </w:r>
      <w:r w:rsidRPr="00E23DE2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fr-FR"/>
        </w:rPr>
        <w:t>ate du transfert de propriété des titres ou du fonds, clause de garantie de passif en cas de cession de titres…</w:t>
      </w:r>
    </w:p>
    <w:p w14:paraId="23183D72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0343FB3" w14:textId="565BA263" w:rsidR="002613AD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L’état des privilèges et des nantissements</w:t>
      </w:r>
    </w:p>
    <w:p w14:paraId="022BB2A9" w14:textId="77777777" w:rsidR="0062331E" w:rsidRPr="00E23DE2" w:rsidRDefault="0062331E" w:rsidP="0062331E">
      <w:pPr>
        <w:shd w:val="clear" w:color="auto" w:fill="FFFFFF" w:themeFill="background1"/>
        <w:spacing w:before="100" w:beforeAutospacing="1" w:after="75" w:line="240" w:lineRule="auto"/>
        <w:ind w:left="720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141499E6" w14:textId="77777777" w:rsidR="0062331E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Déclarations des parties</w:t>
      </w:r>
    </w:p>
    <w:p w14:paraId="7560CC2A" w14:textId="77777777" w:rsidR="0062331E" w:rsidRDefault="0062331E" w:rsidP="0062331E">
      <w:pPr>
        <w:pStyle w:val="Paragraphedeliste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</w:p>
    <w:p w14:paraId="211C603B" w14:textId="14EAF062" w:rsidR="002613AD" w:rsidRPr="00E23DE2" w:rsidRDefault="002613AD" w:rsidP="0062331E">
      <w:pPr>
        <w:numPr>
          <w:ilvl w:val="0"/>
          <w:numId w:val="2"/>
        </w:numPr>
        <w:shd w:val="clear" w:color="auto" w:fill="FFFFFF" w:themeFill="background1"/>
        <w:spacing w:before="100" w:beforeAutospacing="1" w:after="75" w:line="240" w:lineRule="auto"/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</w:pPr>
      <w:r w:rsidRPr="00E23DE2">
        <w:rPr>
          <w:rFonts w:ascii="Lato" w:eastAsia="Times New Roman" w:hAnsi="Lato" w:cs="Times New Roman"/>
          <w:caps/>
          <w:color w:val="000000"/>
          <w:sz w:val="24"/>
          <w:szCs w:val="24"/>
          <w:lang w:eastAsia="fr-FR"/>
        </w:rPr>
        <w:t>La juridiction compétente</w:t>
      </w:r>
    </w:p>
    <w:p w14:paraId="21FAA9A4" w14:textId="77777777" w:rsidR="004351A7" w:rsidRPr="006F39E4" w:rsidRDefault="004351A7" w:rsidP="006F39E4">
      <w:pPr>
        <w:shd w:val="clear" w:color="auto" w:fill="FFFFFF" w:themeFill="background1"/>
        <w:rPr>
          <w:caps/>
        </w:rPr>
      </w:pPr>
    </w:p>
    <w:sectPr w:rsidR="004351A7" w:rsidRPr="006F39E4" w:rsidSect="00452B80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F2365"/>
    <w:multiLevelType w:val="hybridMultilevel"/>
    <w:tmpl w:val="CEBC8C9C"/>
    <w:lvl w:ilvl="0" w:tplc="4DECE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334C03"/>
    <w:multiLevelType w:val="multilevel"/>
    <w:tmpl w:val="A57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3784281">
    <w:abstractNumId w:val="1"/>
  </w:num>
  <w:num w:numId="2" w16cid:durableId="187638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AD"/>
    <w:rsid w:val="002613AD"/>
    <w:rsid w:val="004351A7"/>
    <w:rsid w:val="00452B80"/>
    <w:rsid w:val="0062331E"/>
    <w:rsid w:val="006F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0FBD"/>
  <w15:chartTrackingRefBased/>
  <w15:docId w15:val="{4000287A-FE16-4879-AB55-744890AA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3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2022-03-17T16:43:00Z</dcterms:created>
  <dcterms:modified xsi:type="dcterms:W3CDTF">2022-06-02T14:46:00Z</dcterms:modified>
</cp:coreProperties>
</file>